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4E" w:rsidRDefault="0092524E" w:rsidP="00577FBE"/>
    <w:p w:rsidR="0092524E" w:rsidRPr="00DA10A3" w:rsidRDefault="0092524E" w:rsidP="00AD53AB">
      <w:pPr>
        <w:spacing w:line="360" w:lineRule="auto"/>
        <w:jc w:val="center"/>
        <w:rPr>
          <w:rFonts w:ascii="Arial" w:hAnsi="Arial"/>
          <w:b/>
        </w:rPr>
      </w:pPr>
      <w:r w:rsidRPr="00DA10A3">
        <w:rPr>
          <w:rFonts w:ascii="Arial" w:hAnsi="Arial"/>
          <w:b/>
        </w:rPr>
        <w:t>COMUNICATO DA PARTE DI ASSOARMIERI</w:t>
      </w:r>
    </w:p>
    <w:p w:rsidR="0092524E" w:rsidRPr="00DA10A3" w:rsidRDefault="0092524E" w:rsidP="00AD53AB">
      <w:pPr>
        <w:spacing w:line="360" w:lineRule="auto"/>
        <w:jc w:val="center"/>
        <w:rPr>
          <w:rFonts w:ascii="Arial" w:hAnsi="Arial"/>
          <w:b/>
        </w:rPr>
      </w:pPr>
      <w:r w:rsidRPr="00DA10A3">
        <w:rPr>
          <w:rFonts w:ascii="Arial" w:hAnsi="Arial"/>
          <w:b/>
        </w:rPr>
        <w:t>SULLA PROPOSTA DELLA COMMISSIONE EUROPEA</w:t>
      </w:r>
    </w:p>
    <w:p w:rsidR="0092524E" w:rsidRPr="00DA10A3" w:rsidRDefault="0092524E" w:rsidP="00AD53AB">
      <w:pPr>
        <w:spacing w:line="360" w:lineRule="auto"/>
        <w:jc w:val="center"/>
        <w:rPr>
          <w:rFonts w:ascii="Arial" w:hAnsi="Arial"/>
          <w:b/>
        </w:rPr>
      </w:pPr>
      <w:r w:rsidRPr="00DA10A3">
        <w:rPr>
          <w:rFonts w:ascii="Arial" w:hAnsi="Arial"/>
          <w:b/>
        </w:rPr>
        <w:t xml:space="preserve">SULLA RESTRIZIONE DEL CONTROLLO DELLE ARMI </w:t>
      </w:r>
    </w:p>
    <w:p w:rsidR="0092524E" w:rsidRPr="00DA10A3" w:rsidRDefault="0092524E" w:rsidP="00AD53AB">
      <w:pPr>
        <w:spacing w:line="360" w:lineRule="auto"/>
        <w:jc w:val="center"/>
        <w:rPr>
          <w:rFonts w:ascii="Arial" w:hAnsi="Arial"/>
          <w:b/>
        </w:rPr>
      </w:pPr>
      <w:r w:rsidRPr="00DA10A3">
        <w:rPr>
          <w:rFonts w:ascii="Arial" w:hAnsi="Arial"/>
          <w:b/>
        </w:rPr>
        <w:t>ATTRAVERSO L’UNIONE EUROPEA</w:t>
      </w:r>
    </w:p>
    <w:p w:rsidR="0092524E" w:rsidRPr="00DA10A3" w:rsidRDefault="0092524E" w:rsidP="00AD53AB">
      <w:pPr>
        <w:spacing w:line="360" w:lineRule="auto"/>
        <w:jc w:val="center"/>
        <w:rPr>
          <w:rFonts w:ascii="Arial" w:hAnsi="Arial"/>
          <w:b/>
        </w:rPr>
      </w:pPr>
      <w:r w:rsidRPr="00DA10A3">
        <w:rPr>
          <w:rFonts w:ascii="Arial" w:hAnsi="Arial"/>
          <w:b/>
        </w:rPr>
        <w:t xml:space="preserve">DOPO I FATTI DI PARIGI DEL 13 NOVEMBRE 2015 </w:t>
      </w:r>
    </w:p>
    <w:p w:rsidR="0092524E" w:rsidRPr="00DA10A3" w:rsidRDefault="0092524E" w:rsidP="00AD53AB">
      <w:pPr>
        <w:spacing w:line="360" w:lineRule="auto"/>
        <w:jc w:val="center"/>
        <w:rPr>
          <w:rFonts w:ascii="Arial" w:hAnsi="Arial"/>
          <w:b/>
        </w:rPr>
      </w:pPr>
    </w:p>
    <w:p w:rsidR="0092524E" w:rsidRPr="00DA10A3" w:rsidRDefault="0092524E" w:rsidP="009D5BCF">
      <w:pPr>
        <w:spacing w:line="360" w:lineRule="auto"/>
        <w:ind w:firstLine="567"/>
        <w:rPr>
          <w:rFonts w:ascii="Arial" w:hAnsi="Arial"/>
        </w:rPr>
      </w:pPr>
      <w:r w:rsidRPr="00DA10A3">
        <w:rPr>
          <w:rFonts w:ascii="Arial" w:hAnsi="Arial"/>
        </w:rPr>
        <w:t>La Commissione ha proposto le seguenti misure:</w:t>
      </w:r>
    </w:p>
    <w:p w:rsidR="0092524E" w:rsidRPr="00DA10A3" w:rsidRDefault="0092524E" w:rsidP="00AD53AB">
      <w:pPr>
        <w:spacing w:line="360" w:lineRule="auto"/>
        <w:rPr>
          <w:rFonts w:ascii="Arial" w:hAnsi="Arial"/>
        </w:rPr>
      </w:pPr>
    </w:p>
    <w:p w:rsidR="0092524E" w:rsidRPr="00DB1618" w:rsidRDefault="0092524E" w:rsidP="00033B9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i/>
          <w:color w:val="191919"/>
          <w:szCs w:val="32"/>
        </w:rPr>
      </w:pPr>
      <w:r w:rsidRPr="00DB1618">
        <w:rPr>
          <w:rFonts w:ascii="Arial" w:hAnsi="Arial"/>
          <w:i/>
        </w:rPr>
        <w:t xml:space="preserve">Normativa maggiormente restrittiva volta alla proibizione di </w:t>
      </w:r>
      <w:r>
        <w:rPr>
          <w:rFonts w:ascii="Arial" w:hAnsi="Arial"/>
          <w:i/>
        </w:rPr>
        <w:t xml:space="preserve">alcune tipologie di </w:t>
      </w:r>
      <w:r w:rsidRPr="00DB1618">
        <w:rPr>
          <w:rFonts w:ascii="Arial" w:hAnsi="Arial"/>
          <w:i/>
        </w:rPr>
        <w:t xml:space="preserve">armi semi-automatiche che non dovranno </w:t>
      </w:r>
      <w:r w:rsidRPr="00DB1618">
        <w:rPr>
          <w:rFonts w:ascii="Arial" w:hAnsi="Arial" w:cs="Arial"/>
          <w:i/>
          <w:color w:val="191919"/>
          <w:szCs w:val="32"/>
        </w:rPr>
        <w:t>in nessun caso essere autorizzate a essere detenute da privati, anche se definitivamente disattivate;</w:t>
      </w:r>
    </w:p>
    <w:p w:rsidR="0092524E" w:rsidRPr="00DB1618" w:rsidRDefault="0092524E" w:rsidP="00033B9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i/>
          <w:color w:val="191919"/>
          <w:szCs w:val="32"/>
        </w:rPr>
      </w:pPr>
      <w:r w:rsidRPr="00DB1618">
        <w:rPr>
          <w:rFonts w:ascii="Arial" w:hAnsi="Arial" w:cs="Arial"/>
          <w:i/>
          <w:color w:val="191919"/>
          <w:szCs w:val="32"/>
        </w:rPr>
        <w:t>norme più severe in materia di acquisto on-line di armi da fuoco per evitare l'acquisizione di armi da fuoco, parti fondamentali o munizioni attraverso il Web;</w:t>
      </w:r>
    </w:p>
    <w:p w:rsidR="0092524E" w:rsidRPr="00DB1618" w:rsidRDefault="0092524E" w:rsidP="00033B9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i/>
          <w:color w:val="191919"/>
          <w:szCs w:val="32"/>
        </w:rPr>
      </w:pPr>
      <w:r w:rsidRPr="00DB1618">
        <w:rPr>
          <w:rFonts w:ascii="Arial" w:hAnsi="Arial" w:cs="Arial"/>
          <w:i/>
          <w:color w:val="191919"/>
          <w:szCs w:val="32"/>
        </w:rPr>
        <w:t>norme comunitarie in materia di marcatura delle armi da fuoco per migliorare la tracciabilità delle armi;</w:t>
      </w:r>
    </w:p>
    <w:p w:rsidR="0092524E" w:rsidRPr="00DB1618" w:rsidRDefault="0092524E" w:rsidP="00033B9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i/>
          <w:color w:val="191919"/>
          <w:szCs w:val="32"/>
        </w:rPr>
      </w:pPr>
      <w:r w:rsidRPr="00DB1618">
        <w:rPr>
          <w:rFonts w:ascii="Arial" w:hAnsi="Arial" w:cs="Arial"/>
          <w:i/>
          <w:color w:val="191919"/>
          <w:szCs w:val="32"/>
        </w:rPr>
        <w:t>migliore scambio di informazioni tra gli Stati Membri, per esempio su qualsiasi rifiuto di autorizzazione a possedere un'arma da fuoco emesso da altra Autorità Nazionale, e obbligo di interconnessione fra i registri nazionali delle armi;</w:t>
      </w:r>
    </w:p>
    <w:p w:rsidR="0092524E" w:rsidRPr="00DB1618" w:rsidRDefault="0092524E" w:rsidP="00033B9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i/>
          <w:color w:val="191919"/>
          <w:szCs w:val="32"/>
        </w:rPr>
      </w:pPr>
      <w:r w:rsidRPr="00DB1618">
        <w:rPr>
          <w:rFonts w:ascii="Arial" w:hAnsi="Arial" w:cs="Arial"/>
          <w:i/>
          <w:color w:val="191919"/>
          <w:szCs w:val="32"/>
        </w:rPr>
        <w:t>applicazione di criteri comuni in materia di armi di allarme (ad esempio, segnali di soccorso e pistole di start), al fine di prevenire la loro trasformazione in armi da fuoco perfettamente funzionanti;</w:t>
      </w:r>
    </w:p>
    <w:p w:rsidR="0092524E" w:rsidRPr="00DB1618" w:rsidRDefault="0092524E" w:rsidP="00033B9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i/>
          <w:color w:val="191919"/>
          <w:szCs w:val="32"/>
        </w:rPr>
      </w:pPr>
      <w:r w:rsidRPr="00DB1618">
        <w:rPr>
          <w:rFonts w:ascii="Arial" w:hAnsi="Arial" w:cs="Arial"/>
          <w:i/>
          <w:color w:val="191919"/>
          <w:szCs w:val="32"/>
        </w:rPr>
        <w:t>clausole più severe per la circolazione delle armi da fuoco disattivate;</w:t>
      </w:r>
    </w:p>
    <w:p w:rsidR="0092524E" w:rsidRPr="00DB1618" w:rsidRDefault="0092524E" w:rsidP="00033B9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i/>
          <w:color w:val="191919"/>
          <w:szCs w:val="32"/>
        </w:rPr>
      </w:pPr>
      <w:r w:rsidRPr="00DB1618">
        <w:rPr>
          <w:rFonts w:ascii="Arial" w:hAnsi="Arial" w:cs="Arial"/>
          <w:i/>
          <w:color w:val="191919"/>
          <w:szCs w:val="32"/>
        </w:rPr>
        <w:t>clausole più severe per i collezionisti così da limitare il rischio di vendita a criminali.</w:t>
      </w:r>
    </w:p>
    <w:p w:rsidR="0092524E" w:rsidRDefault="0092524E" w:rsidP="009D5BCF">
      <w:pPr>
        <w:spacing w:line="360" w:lineRule="auto"/>
        <w:rPr>
          <w:rFonts w:ascii="Arial" w:hAnsi="Arial"/>
        </w:rPr>
      </w:pPr>
    </w:p>
    <w:p w:rsidR="0092524E" w:rsidRDefault="0092524E" w:rsidP="009D5BCF">
      <w:pPr>
        <w:spacing w:line="360" w:lineRule="auto"/>
        <w:ind w:firstLine="567"/>
        <w:rPr>
          <w:rFonts w:ascii="Arial" w:hAnsi="Arial"/>
        </w:rPr>
      </w:pPr>
      <w:r w:rsidRPr="00DA10A3">
        <w:rPr>
          <w:rFonts w:ascii="Arial" w:hAnsi="Arial"/>
        </w:rPr>
        <w:t>Senza alcun dubbio i fatti terroristici di Parigi necessitano di un pronto intervento sul piano politico e di forza militare per continuare a sradicare le cellule terroristiche ins</w:t>
      </w:r>
      <w:r>
        <w:rPr>
          <w:rFonts w:ascii="Arial" w:hAnsi="Arial"/>
        </w:rPr>
        <w:t>idiatesi nel cuore dell’Europa,</w:t>
      </w:r>
      <w:r w:rsidRPr="00DA10A3">
        <w:rPr>
          <w:rFonts w:ascii="Arial" w:hAnsi="Arial"/>
        </w:rPr>
        <w:t xml:space="preserve"> nelle nostre città e nella nostra vita quotidiana. </w:t>
      </w:r>
    </w:p>
    <w:p w:rsidR="0092524E" w:rsidRDefault="0092524E" w:rsidP="009D5BCF">
      <w:pPr>
        <w:spacing w:line="360" w:lineRule="auto"/>
        <w:rPr>
          <w:rFonts w:ascii="Arial" w:hAnsi="Arial"/>
        </w:rPr>
      </w:pPr>
    </w:p>
    <w:p w:rsidR="0092524E" w:rsidRDefault="0092524E" w:rsidP="009D5BCF">
      <w:pPr>
        <w:spacing w:line="360" w:lineRule="auto"/>
        <w:ind w:firstLine="567"/>
        <w:rPr>
          <w:rFonts w:ascii="Arial" w:hAnsi="Arial"/>
        </w:rPr>
      </w:pPr>
      <w:r w:rsidRPr="00DA10A3">
        <w:rPr>
          <w:rFonts w:ascii="Arial" w:hAnsi="Arial"/>
        </w:rPr>
        <w:t>Bisogna però a gran voce evidenziare che l’Associazione</w:t>
      </w:r>
      <w:r>
        <w:rPr>
          <w:rFonts w:ascii="Arial" w:hAnsi="Arial"/>
        </w:rPr>
        <w:t xml:space="preserve">, sia la nostra italiana che quella europea AECAC, racchiude collezionisti, </w:t>
      </w:r>
      <w:r w:rsidRPr="00DA10A3">
        <w:rPr>
          <w:rFonts w:ascii="Arial" w:hAnsi="Arial"/>
        </w:rPr>
        <w:t xml:space="preserve">commercianti e privati </w:t>
      </w:r>
      <w:r>
        <w:rPr>
          <w:rFonts w:ascii="Arial" w:hAnsi="Arial"/>
        </w:rPr>
        <w:t>possessori di</w:t>
      </w:r>
      <w:r w:rsidRPr="00DA10A3">
        <w:rPr>
          <w:rFonts w:ascii="Arial" w:hAnsi="Arial"/>
        </w:rPr>
        <w:t xml:space="preserve"> armi civili </w:t>
      </w:r>
      <w:r>
        <w:rPr>
          <w:rFonts w:ascii="Arial" w:hAnsi="Arial"/>
        </w:rPr>
        <w:t xml:space="preserve">e </w:t>
      </w:r>
      <w:r w:rsidRPr="00DA10A3">
        <w:rPr>
          <w:rFonts w:ascii="Arial" w:hAnsi="Arial"/>
        </w:rPr>
        <w:t xml:space="preserve">non </w:t>
      </w:r>
      <w:r>
        <w:rPr>
          <w:rFonts w:ascii="Arial" w:hAnsi="Arial"/>
        </w:rPr>
        <w:t>è</w:t>
      </w:r>
      <w:r w:rsidRPr="00DA10A3">
        <w:rPr>
          <w:rFonts w:ascii="Arial" w:hAnsi="Arial"/>
        </w:rPr>
        <w:t xml:space="preserve"> e non </w:t>
      </w:r>
      <w:r>
        <w:rPr>
          <w:rFonts w:ascii="Arial" w:hAnsi="Arial"/>
        </w:rPr>
        <w:t>potrà</w:t>
      </w:r>
      <w:r w:rsidRPr="00DA10A3">
        <w:rPr>
          <w:rFonts w:ascii="Arial" w:hAnsi="Arial"/>
        </w:rPr>
        <w:t xml:space="preserve"> mai essere collega</w:t>
      </w:r>
      <w:r>
        <w:rPr>
          <w:rFonts w:ascii="Arial" w:hAnsi="Arial"/>
        </w:rPr>
        <w:t xml:space="preserve">ta al traffico illegale di armi. </w:t>
      </w:r>
      <w:r w:rsidRPr="00DA10A3">
        <w:rPr>
          <w:rFonts w:ascii="Arial" w:hAnsi="Arial"/>
        </w:rPr>
        <w:t>Il cuore del problema sono i terroristi che usano armi militari provenienti da zone di guerra e non sono invece i 12 milioni di sportivi appassionati che detengono armi legalmente.</w:t>
      </w:r>
    </w:p>
    <w:p w:rsidR="0092524E" w:rsidRDefault="0092524E" w:rsidP="005079CF">
      <w:pPr>
        <w:spacing w:line="360" w:lineRule="auto"/>
        <w:rPr>
          <w:rFonts w:ascii="Arial" w:hAnsi="Arial"/>
        </w:rPr>
      </w:pPr>
    </w:p>
    <w:p w:rsidR="0092524E" w:rsidRPr="00DA10A3" w:rsidRDefault="0092524E" w:rsidP="009D5BCF">
      <w:pPr>
        <w:spacing w:line="360" w:lineRule="auto"/>
        <w:ind w:firstLine="567"/>
        <w:rPr>
          <w:rFonts w:ascii="Arial" w:hAnsi="Arial"/>
        </w:rPr>
      </w:pPr>
      <w:r>
        <w:rPr>
          <w:rFonts w:ascii="Arial" w:hAnsi="Arial"/>
        </w:rPr>
        <w:t xml:space="preserve">È </w:t>
      </w:r>
      <w:r w:rsidRPr="00DA10A3">
        <w:rPr>
          <w:rFonts w:ascii="Arial" w:hAnsi="Arial"/>
        </w:rPr>
        <w:t>necessario applicare gli strumenti legislativi già in essere, come ad esempio il Trattato di Prum, sottoscritto il 25 maggio 2005 da sette paesi (Belgio, Germania, Spagna, Francia, Lussemburgo, Paesi Bassi e Austria), denominato anche “Schengen II” – in quanto ultimo tassello del complesso mosaico che ha portato a compimento quel processo di integrazione frontaliera avviato, per l’appunto</w:t>
      </w:r>
      <w:r>
        <w:rPr>
          <w:rFonts w:ascii="Arial" w:hAnsi="Arial"/>
        </w:rPr>
        <w:t>,</w:t>
      </w:r>
      <w:r w:rsidRPr="00DA10A3">
        <w:rPr>
          <w:rFonts w:ascii="Arial" w:hAnsi="Arial"/>
        </w:rPr>
        <w:t xml:space="preserve"> a Schengen – che prevede una cooperazione transfrontaliera  allo scopo di contrastare il terrorismo, la criminalità transfrontaliera e l’immigrazione clandestina, attraverso lo scambio di informazioni dei dati del DNA, delle impronte digitali e dell’immatricolazione dei veicoli.</w:t>
      </w:r>
    </w:p>
    <w:p w:rsidR="0092524E" w:rsidRPr="00DA10A3" w:rsidRDefault="0092524E" w:rsidP="00AD53AB">
      <w:pPr>
        <w:spacing w:line="360" w:lineRule="auto"/>
        <w:rPr>
          <w:rFonts w:ascii="Arial" w:hAnsi="Arial"/>
        </w:rPr>
      </w:pPr>
      <w:r w:rsidRPr="00DA10A3">
        <w:rPr>
          <w:rFonts w:ascii="Arial" w:hAnsi="Arial"/>
        </w:rPr>
        <w:t>Obiettivo del Trattato è quello di giungere ad un raccordo con le disposizioni dell’Unione Europea al massimo entro tre anni dalla sua sottoscrizione ed entrata in vigore e di intervenire, pur nel rispetto dei Trattati europei e delle Carte e Convenzioni per i diritti fondamentali, in una serie di settori specifici di indagine.</w:t>
      </w:r>
    </w:p>
    <w:p w:rsidR="0092524E" w:rsidRDefault="0092524E" w:rsidP="00AD53AB">
      <w:pPr>
        <w:spacing w:line="360" w:lineRule="auto"/>
        <w:rPr>
          <w:rFonts w:ascii="Arial" w:hAnsi="Arial"/>
        </w:rPr>
      </w:pPr>
    </w:p>
    <w:p w:rsidR="0092524E" w:rsidRDefault="0092524E" w:rsidP="006F1ABE">
      <w:pPr>
        <w:spacing w:line="360" w:lineRule="auto"/>
        <w:ind w:firstLine="567"/>
        <w:rPr>
          <w:rFonts w:ascii="Arial" w:hAnsi="Arial"/>
        </w:rPr>
      </w:pPr>
      <w:r>
        <w:rPr>
          <w:rFonts w:ascii="Arial" w:hAnsi="Arial"/>
        </w:rPr>
        <w:t>Le misure richieste dalla Commissione Europea sulle restrizioni e sul controllo delle armi devono essere ancora approvate</w:t>
      </w:r>
      <w:r w:rsidRPr="00DA10A3">
        <w:rPr>
          <w:rFonts w:ascii="Arial" w:hAnsi="Arial"/>
        </w:rPr>
        <w:t xml:space="preserve"> dal Consiglio degli Stati Membri del Parlamento Europeo, ma le linee di intervento da seguire</w:t>
      </w:r>
      <w:r>
        <w:rPr>
          <w:rFonts w:ascii="Arial" w:hAnsi="Arial"/>
        </w:rPr>
        <w:t xml:space="preserve"> per la sicurezza nazionale ed e</w:t>
      </w:r>
      <w:r w:rsidRPr="00DA10A3">
        <w:rPr>
          <w:rFonts w:ascii="Arial" w:hAnsi="Arial"/>
        </w:rPr>
        <w:t>uropea contro il terrorismo dopo i fatti di Parigi sono altre!</w:t>
      </w:r>
    </w:p>
    <w:p w:rsidR="0092524E" w:rsidRDefault="0092524E" w:rsidP="005079CF">
      <w:pPr>
        <w:spacing w:line="360" w:lineRule="auto"/>
        <w:rPr>
          <w:rFonts w:ascii="Arial" w:hAnsi="Arial"/>
        </w:rPr>
      </w:pPr>
    </w:p>
    <w:p w:rsidR="0092524E" w:rsidRDefault="0092524E" w:rsidP="006F1ABE">
      <w:pPr>
        <w:spacing w:line="360" w:lineRule="auto"/>
        <w:ind w:firstLine="567"/>
        <w:rPr>
          <w:rFonts w:ascii="Arial" w:hAnsi="Arial"/>
        </w:rPr>
      </w:pPr>
      <w:r>
        <w:rPr>
          <w:rFonts w:ascii="Arial" w:hAnsi="Arial"/>
        </w:rPr>
        <w:t>Si fa presente che in Italia, in merito alla proposta della Commissione Europea, la situazione è la seguente:</w:t>
      </w:r>
    </w:p>
    <w:p w:rsidR="0092524E" w:rsidRPr="00FB13A8" w:rsidRDefault="0092524E" w:rsidP="00FB13A8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FB13A8">
        <w:rPr>
          <w:rFonts w:ascii="Arial" w:hAnsi="Arial"/>
        </w:rPr>
        <w:t>In questo caso</w:t>
      </w:r>
      <w:r>
        <w:rPr>
          <w:rFonts w:ascii="Arial" w:hAnsi="Arial"/>
        </w:rPr>
        <w:t>,</w:t>
      </w:r>
      <w:r w:rsidRPr="00FB13A8">
        <w:rPr>
          <w:rFonts w:ascii="Arial" w:hAnsi="Arial"/>
        </w:rPr>
        <w:t xml:space="preserve"> per come è scritto il testo, vi è un </w:t>
      </w:r>
      <w:r>
        <w:rPr>
          <w:rFonts w:ascii="Arial" w:hAnsi="Arial"/>
        </w:rPr>
        <w:t>problema interpretativo</w:t>
      </w:r>
      <w:r w:rsidRPr="00FB13A8">
        <w:rPr>
          <w:rFonts w:ascii="Arial" w:hAnsi="Arial"/>
        </w:rPr>
        <w:t xml:space="preserve"> poiché </w:t>
      </w:r>
      <w:r>
        <w:rPr>
          <w:rFonts w:ascii="Arial" w:hAnsi="Arial"/>
        </w:rPr>
        <w:t>non si comprende se fa riferimento alla trasformazione in simulacro delle armi in oggetto oppure fa riferimento alla loro conversione da automatica a semi-automatica in maniera irreversibile</w:t>
      </w:r>
      <w:r w:rsidRPr="00FB13A8">
        <w:rPr>
          <w:rFonts w:ascii="Arial" w:hAnsi="Arial"/>
        </w:rPr>
        <w:t>.</w:t>
      </w:r>
    </w:p>
    <w:p w:rsidR="0092524E" w:rsidRPr="00FB13A8" w:rsidRDefault="0092524E" w:rsidP="00FB13A8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FB13A8">
        <w:rPr>
          <w:rFonts w:ascii="Arial" w:hAnsi="Arial"/>
        </w:rPr>
        <w:t>In Italia è proibita la vendita on-line (anche se non è specificata per le munizioni) ivi comprese le armi ad aria compressa di libera vendita.</w:t>
      </w:r>
    </w:p>
    <w:p w:rsidR="0092524E" w:rsidRPr="00FB13A8" w:rsidRDefault="0092524E" w:rsidP="00FB13A8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FB13A8">
        <w:rPr>
          <w:rFonts w:ascii="Arial" w:hAnsi="Arial"/>
        </w:rPr>
        <w:t>Un’arma registrata è già tracciabile. Forse deve intendersi per le armi di nuova produzione e non per le armi di interesse storico o antiche.</w:t>
      </w:r>
    </w:p>
    <w:p w:rsidR="0092524E" w:rsidRPr="00FB13A8" w:rsidRDefault="0092524E" w:rsidP="00FB13A8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Tale procedura può diventare complicata</w:t>
      </w:r>
      <w:r w:rsidRPr="00FB13A8">
        <w:rPr>
          <w:rFonts w:ascii="Arial" w:hAnsi="Arial"/>
        </w:rPr>
        <w:t xml:space="preserve"> e/o di difficile gestione anche da un punto di vista comparativo</w:t>
      </w:r>
      <w:r>
        <w:rPr>
          <w:rFonts w:ascii="Arial" w:hAnsi="Arial"/>
        </w:rPr>
        <w:t>-normativo</w:t>
      </w:r>
      <w:r w:rsidRPr="00FB13A8">
        <w:rPr>
          <w:rFonts w:ascii="Arial" w:hAnsi="Arial"/>
        </w:rPr>
        <w:t xml:space="preserve"> tra </w:t>
      </w:r>
      <w:r>
        <w:rPr>
          <w:rFonts w:ascii="Arial" w:hAnsi="Arial"/>
        </w:rPr>
        <w:t xml:space="preserve">gli </w:t>
      </w:r>
      <w:r w:rsidRPr="00FB13A8">
        <w:rPr>
          <w:rFonts w:ascii="Arial" w:hAnsi="Arial"/>
        </w:rPr>
        <w:t>Stati</w:t>
      </w:r>
      <w:r>
        <w:rPr>
          <w:rFonts w:ascii="Arial" w:hAnsi="Arial"/>
        </w:rPr>
        <w:t xml:space="preserve"> Membri. Quali sono i Paesi e</w:t>
      </w:r>
      <w:r w:rsidRPr="00FB13A8">
        <w:rPr>
          <w:rFonts w:ascii="Arial" w:hAnsi="Arial"/>
        </w:rPr>
        <w:t>uropei aventi il Registro Nazionale delle Armi?</w:t>
      </w:r>
    </w:p>
    <w:p w:rsidR="0092524E" w:rsidRPr="00FB13A8" w:rsidRDefault="0092524E" w:rsidP="00FB13A8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FB13A8">
        <w:rPr>
          <w:rFonts w:ascii="Arial" w:hAnsi="Arial"/>
        </w:rPr>
        <w:t>I</w:t>
      </w:r>
      <w:r>
        <w:rPr>
          <w:rFonts w:ascii="Arial" w:hAnsi="Arial"/>
        </w:rPr>
        <w:t>n Italia le “armi da allarme” veng</w:t>
      </w:r>
      <w:r w:rsidRPr="00FB13A8">
        <w:rPr>
          <w:rFonts w:ascii="Arial" w:hAnsi="Arial"/>
        </w:rPr>
        <w:t>ono denominate strumenti per allarme se sono caratterizzate dall’occlusione completa della canna (mentre all’estero sono aperti). Inoltre le armi lanciarazzi per uso di soccorso o segnalazione sono già regolamen</w:t>
      </w:r>
      <w:r>
        <w:rPr>
          <w:rFonts w:ascii="Arial" w:hAnsi="Arial"/>
        </w:rPr>
        <w:t>tate quali armi comuni da sparo (tecnicamente).</w:t>
      </w:r>
    </w:p>
    <w:p w:rsidR="0092524E" w:rsidRPr="00FB13A8" w:rsidRDefault="0092524E" w:rsidP="00FB13A8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FB13A8">
        <w:rPr>
          <w:rFonts w:ascii="Arial" w:hAnsi="Arial"/>
        </w:rPr>
        <w:t>Da verificare la terminologia di disattivazione</w:t>
      </w:r>
      <w:r>
        <w:rPr>
          <w:rFonts w:ascii="Arial" w:hAnsi="Arial"/>
        </w:rPr>
        <w:t xml:space="preserve"> secondo gli allegati alla proposta in oggetto.</w:t>
      </w:r>
    </w:p>
    <w:p w:rsidR="0092524E" w:rsidRPr="00FB13A8" w:rsidRDefault="0092524E" w:rsidP="00FB13A8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</w:rPr>
      </w:pPr>
      <w:r w:rsidRPr="00FB13A8">
        <w:rPr>
          <w:rFonts w:ascii="Arial" w:hAnsi="Arial"/>
        </w:rPr>
        <w:t xml:space="preserve">I collezionisti intenzionati a vendere le proprie armi dovrebbero affidarsi all’Armeria che </w:t>
      </w:r>
      <w:r>
        <w:rPr>
          <w:rFonts w:ascii="Arial" w:hAnsi="Arial"/>
        </w:rPr>
        <w:t xml:space="preserve">garantirebbe in questo modo la corretta </w:t>
      </w:r>
      <w:r w:rsidRPr="00FB13A8">
        <w:rPr>
          <w:rFonts w:ascii="Arial" w:hAnsi="Arial"/>
        </w:rPr>
        <w:t>cessione a persone autorizzate.</w:t>
      </w:r>
    </w:p>
    <w:p w:rsidR="0092524E" w:rsidRPr="00FB13A8" w:rsidRDefault="0092524E" w:rsidP="00FB13A8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L</w:t>
      </w:r>
      <w:r w:rsidRPr="00FB13A8">
        <w:rPr>
          <w:rFonts w:ascii="Arial" w:hAnsi="Arial"/>
        </w:rPr>
        <w:t>a proposta italiana</w:t>
      </w:r>
      <w:r>
        <w:rPr>
          <w:rFonts w:ascii="Arial" w:hAnsi="Arial"/>
        </w:rPr>
        <w:t>, infatti,</w:t>
      </w:r>
      <w:r w:rsidRPr="00FB13A8">
        <w:rPr>
          <w:rFonts w:ascii="Arial" w:hAnsi="Arial"/>
        </w:rPr>
        <w:t xml:space="preserve"> potrebbe essere quella di imporre che tutte le transazioni anche tra privati siano effettuate tramite mediazione con armieri autorizzati a garanzia della corretta esecuzione.</w:t>
      </w:r>
    </w:p>
    <w:p w:rsidR="0092524E" w:rsidRDefault="0092524E" w:rsidP="00AD53AB">
      <w:pPr>
        <w:spacing w:line="360" w:lineRule="auto"/>
        <w:rPr>
          <w:rFonts w:ascii="Arial" w:hAnsi="Arial"/>
        </w:rPr>
      </w:pPr>
    </w:p>
    <w:p w:rsidR="0092524E" w:rsidRDefault="0092524E" w:rsidP="00AD53AB">
      <w:pPr>
        <w:spacing w:line="360" w:lineRule="auto"/>
        <w:rPr>
          <w:rFonts w:ascii="Arial" w:hAnsi="Arial"/>
        </w:rPr>
      </w:pPr>
    </w:p>
    <w:p w:rsidR="0092524E" w:rsidRDefault="0092524E" w:rsidP="00AD53AB">
      <w:pPr>
        <w:spacing w:line="360" w:lineRule="auto"/>
        <w:rPr>
          <w:rFonts w:ascii="Arial" w:hAnsi="Arial"/>
        </w:rPr>
      </w:pPr>
    </w:p>
    <w:p w:rsidR="0092524E" w:rsidRDefault="0092524E" w:rsidP="00AD53AB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Assoarmieri Italia</w:t>
      </w:r>
    </w:p>
    <w:p w:rsidR="0092524E" w:rsidRDefault="0092524E" w:rsidP="00AD53AB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La Presidenza</w:t>
      </w:r>
    </w:p>
    <w:p w:rsidR="0092524E" w:rsidRDefault="0092524E" w:rsidP="00AD53AB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Avv. </w:t>
      </w:r>
      <w:r w:rsidRPr="00DA10A3">
        <w:rPr>
          <w:rFonts w:ascii="Arial" w:hAnsi="Arial"/>
        </w:rPr>
        <w:t>Antonio Bana</w:t>
      </w:r>
    </w:p>
    <w:p w:rsidR="0092524E" w:rsidRDefault="0092524E" w:rsidP="00AD53AB">
      <w:pPr>
        <w:spacing w:line="360" w:lineRule="auto"/>
        <w:jc w:val="right"/>
        <w:rPr>
          <w:rFonts w:ascii="Arial" w:hAnsi="Arial"/>
        </w:rPr>
      </w:pPr>
    </w:p>
    <w:p w:rsidR="0092524E" w:rsidRDefault="0092524E" w:rsidP="00AD53AB">
      <w:pPr>
        <w:spacing w:line="360" w:lineRule="auto"/>
        <w:jc w:val="right"/>
        <w:rPr>
          <w:rFonts w:ascii="Arial" w:hAnsi="Arial"/>
        </w:rPr>
      </w:pPr>
    </w:p>
    <w:p w:rsidR="0092524E" w:rsidRPr="00DA10A3" w:rsidRDefault="0092524E" w:rsidP="00D31495">
      <w:pPr>
        <w:spacing w:line="360" w:lineRule="auto"/>
        <w:jc w:val="left"/>
        <w:rPr>
          <w:rFonts w:ascii="Arial" w:hAnsi="Arial"/>
        </w:rPr>
      </w:pPr>
      <w:r>
        <w:rPr>
          <w:rFonts w:ascii="Arial" w:hAnsi="Arial"/>
        </w:rPr>
        <w:t>Milano, 19 novembre 2015</w:t>
      </w:r>
    </w:p>
    <w:p w:rsidR="0092524E" w:rsidRDefault="0092524E" w:rsidP="00AD53AB">
      <w:pPr>
        <w:spacing w:line="360" w:lineRule="auto"/>
        <w:rPr>
          <w:rFonts w:ascii="Arial" w:hAnsi="Arial"/>
        </w:rPr>
      </w:pPr>
    </w:p>
    <w:p w:rsidR="0092524E" w:rsidRDefault="0092524E" w:rsidP="00AD53AB">
      <w:pPr>
        <w:spacing w:line="360" w:lineRule="auto"/>
        <w:rPr>
          <w:rFonts w:ascii="Arial" w:hAnsi="Arial"/>
        </w:rPr>
      </w:pPr>
    </w:p>
    <w:p w:rsidR="0092524E" w:rsidRDefault="0092524E" w:rsidP="00AD53AB">
      <w:pPr>
        <w:spacing w:line="360" w:lineRule="auto"/>
        <w:rPr>
          <w:rFonts w:ascii="Arial" w:hAnsi="Arial"/>
        </w:rPr>
      </w:pPr>
    </w:p>
    <w:p w:rsidR="0092524E" w:rsidRPr="00DA10A3" w:rsidRDefault="0092524E" w:rsidP="00AD53AB">
      <w:pPr>
        <w:spacing w:line="360" w:lineRule="auto"/>
        <w:rPr>
          <w:rFonts w:ascii="Arial" w:hAnsi="Arial"/>
        </w:rPr>
      </w:pPr>
    </w:p>
    <w:sectPr w:rsidR="0092524E" w:rsidRPr="00DA10A3" w:rsidSect="00C24555">
      <w:headerReference w:type="default" r:id="rId7"/>
      <w:headerReference w:type="first" r:id="rId8"/>
      <w:pgSz w:w="11899" w:h="16840"/>
      <w:pgMar w:top="1701" w:right="1418" w:bottom="1701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24E" w:rsidRDefault="0092524E">
      <w:pPr>
        <w:spacing w:line="240" w:lineRule="auto"/>
      </w:pPr>
      <w:r>
        <w:separator/>
      </w:r>
    </w:p>
  </w:endnote>
  <w:endnote w:type="continuationSeparator" w:id="1">
    <w:p w:rsidR="0092524E" w:rsidRDefault="00925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24E" w:rsidRDefault="0092524E">
      <w:pPr>
        <w:spacing w:line="240" w:lineRule="auto"/>
      </w:pPr>
      <w:r>
        <w:separator/>
      </w:r>
    </w:p>
  </w:footnote>
  <w:footnote w:type="continuationSeparator" w:id="1">
    <w:p w:rsidR="0092524E" w:rsidRDefault="009252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4E" w:rsidRDefault="0092524E" w:rsidP="00577FB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4E" w:rsidRDefault="0092524E" w:rsidP="00C24555">
    <w:pPr>
      <w:pStyle w:val="Header"/>
      <w:spacing w:line="240" w:lineRule="auto"/>
      <w:jc w:val="center"/>
    </w:pPr>
    <w:r w:rsidRPr="00D476C1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6" type="#_x0000_t75" alt="ASSOA_LOGO.eps" style="width:122.25pt;height:5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9A4"/>
    <w:multiLevelType w:val="hybridMultilevel"/>
    <w:tmpl w:val="894EF1B4"/>
    <w:lvl w:ilvl="0" w:tplc="91A6FB94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7A25"/>
    <w:multiLevelType w:val="hybridMultilevel"/>
    <w:tmpl w:val="7D3E1D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7520AA"/>
    <w:multiLevelType w:val="hybridMultilevel"/>
    <w:tmpl w:val="B074DB66"/>
    <w:lvl w:ilvl="0" w:tplc="DA4650DE">
      <w:numFmt w:val="bullet"/>
      <w:lvlText w:val="-"/>
      <w:lvlJc w:val="left"/>
      <w:pPr>
        <w:ind w:left="1004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5149E"/>
    <w:multiLevelType w:val="hybridMultilevel"/>
    <w:tmpl w:val="C7AA695E"/>
    <w:lvl w:ilvl="0" w:tplc="99C0D3D2">
      <w:start w:val="1"/>
      <w:numFmt w:val="decimal"/>
      <w:pStyle w:val="ListParagraph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3C0539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4B7E5580"/>
    <w:multiLevelType w:val="multilevel"/>
    <w:tmpl w:val="8656F5F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6">
    <w:nsid w:val="4C550BF7"/>
    <w:multiLevelType w:val="multilevel"/>
    <w:tmpl w:val="46467C50"/>
    <w:lvl w:ilvl="0">
      <w:start w:val="1"/>
      <w:numFmt w:val="bullet"/>
      <w:lvlText w:val=""/>
      <w:lvlJc w:val="left"/>
      <w:pPr>
        <w:tabs>
          <w:tab w:val="num" w:pos="397"/>
        </w:tabs>
        <w:ind w:left="340" w:hanging="5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70457"/>
    <w:multiLevelType w:val="hybridMultilevel"/>
    <w:tmpl w:val="46467C50"/>
    <w:lvl w:ilvl="0" w:tplc="6212A184">
      <w:start w:val="1"/>
      <w:numFmt w:val="bullet"/>
      <w:lvlText w:val=""/>
      <w:lvlJc w:val="left"/>
      <w:pPr>
        <w:tabs>
          <w:tab w:val="num" w:pos="397"/>
        </w:tabs>
        <w:ind w:left="340" w:hanging="56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D1C48"/>
    <w:multiLevelType w:val="multilevel"/>
    <w:tmpl w:val="6A108510"/>
    <w:lvl w:ilvl="0">
      <w:start w:val="1"/>
      <w:numFmt w:val="decimal"/>
      <w:pStyle w:val="Heading1"/>
      <w:lvlText w:val="%1."/>
      <w:lvlJc w:val="left"/>
      <w:pPr>
        <w:ind w:left="1368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1512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ind w:left="16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8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3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584"/>
      </w:pPr>
      <w:rPr>
        <w:rFonts w:cs="Times New Roman" w:hint="default"/>
      </w:rPr>
    </w:lvl>
  </w:abstractNum>
  <w:abstractNum w:abstractNumId="9">
    <w:nsid w:val="73363C5D"/>
    <w:multiLevelType w:val="hybridMultilevel"/>
    <w:tmpl w:val="08E0C5E2"/>
    <w:lvl w:ilvl="0" w:tplc="0410000F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9F5"/>
    <w:rsid w:val="0000148C"/>
    <w:rsid w:val="00033B98"/>
    <w:rsid w:val="00085C60"/>
    <w:rsid w:val="001C4DCB"/>
    <w:rsid w:val="0027328B"/>
    <w:rsid w:val="002B4181"/>
    <w:rsid w:val="003065A6"/>
    <w:rsid w:val="003D093C"/>
    <w:rsid w:val="004042FE"/>
    <w:rsid w:val="004446D6"/>
    <w:rsid w:val="00503324"/>
    <w:rsid w:val="0050682C"/>
    <w:rsid w:val="005079CF"/>
    <w:rsid w:val="00577FBE"/>
    <w:rsid w:val="005B7C26"/>
    <w:rsid w:val="005F3513"/>
    <w:rsid w:val="006378E8"/>
    <w:rsid w:val="006522FB"/>
    <w:rsid w:val="006B3D07"/>
    <w:rsid w:val="006F1ABE"/>
    <w:rsid w:val="00807E55"/>
    <w:rsid w:val="0084104F"/>
    <w:rsid w:val="00855EA2"/>
    <w:rsid w:val="008E3315"/>
    <w:rsid w:val="00906D90"/>
    <w:rsid w:val="0092524E"/>
    <w:rsid w:val="00957879"/>
    <w:rsid w:val="009901EE"/>
    <w:rsid w:val="009D5BCF"/>
    <w:rsid w:val="00A53AD9"/>
    <w:rsid w:val="00AD4642"/>
    <w:rsid w:val="00AD53AB"/>
    <w:rsid w:val="00B91213"/>
    <w:rsid w:val="00BE0C41"/>
    <w:rsid w:val="00C103D4"/>
    <w:rsid w:val="00C24555"/>
    <w:rsid w:val="00C45BEA"/>
    <w:rsid w:val="00C62749"/>
    <w:rsid w:val="00CF5A36"/>
    <w:rsid w:val="00D31495"/>
    <w:rsid w:val="00D476C1"/>
    <w:rsid w:val="00DA10A3"/>
    <w:rsid w:val="00DB1618"/>
    <w:rsid w:val="00DC381F"/>
    <w:rsid w:val="00E575C2"/>
    <w:rsid w:val="00E826F0"/>
    <w:rsid w:val="00EB2983"/>
    <w:rsid w:val="00F17246"/>
    <w:rsid w:val="00F43422"/>
    <w:rsid w:val="00F539F5"/>
    <w:rsid w:val="00F55C5D"/>
    <w:rsid w:val="00FB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line="480" w:lineRule="exact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keepNext/>
      <w:numPr>
        <w:numId w:val="2"/>
      </w:numPr>
      <w:ind w:left="431" w:hanging="431"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keepLines/>
      <w:numPr>
        <w:ilvl w:val="1"/>
        <w:numId w:val="4"/>
      </w:numPr>
      <w:outlineLvl w:val="1"/>
    </w:pPr>
    <w:rPr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pPr>
      <w:keepNext/>
      <w:keepLines/>
      <w:numPr>
        <w:ilvl w:val="2"/>
        <w:numId w:val="4"/>
      </w:numPr>
      <w:outlineLvl w:val="2"/>
    </w:pPr>
    <w:rPr>
      <w:rFonts w:eastAsia="Times New Roman"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sz w:val="32"/>
      <w:szCs w:val="32"/>
      <w:lang w:val="it-IT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eastAsia="Times New Roman" w:cs="Times New Roman"/>
      <w:bCs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eastAsia="Times New Roman" w:cs="Times New Roman"/>
      <w:bCs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noteText">
    <w:name w:val="footnote text"/>
    <w:basedOn w:val="Normal"/>
    <w:link w:val="FootnoteTextChar"/>
    <w:autoRedefine/>
    <w:uiPriority w:val="99"/>
    <w:pPr>
      <w:spacing w:line="24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7643"/>
      </w:tabs>
      <w:spacing w:before="120" w:line="240" w:lineRule="exact"/>
      <w:ind w:right="397"/>
    </w:pPr>
    <w:rPr>
      <w:b/>
      <w:sz w:val="22"/>
    </w:rPr>
  </w:style>
  <w:style w:type="paragraph" w:styleId="TOCHeading">
    <w:name w:val="TOC Heading"/>
    <w:basedOn w:val="Heading1"/>
    <w:next w:val="Normal"/>
    <w:uiPriority w:val="99"/>
    <w:qFormat/>
    <w:pPr>
      <w:keepNext w:val="0"/>
      <w:spacing w:line="240" w:lineRule="auto"/>
      <w:jc w:val="left"/>
      <w:outlineLvl w:val="9"/>
    </w:pPr>
    <w:rPr>
      <w:b w:val="0"/>
      <w:bCs w:val="0"/>
      <w:lang w:eastAsia="it-IT"/>
    </w:rPr>
  </w:style>
  <w:style w:type="paragraph" w:styleId="TOC2">
    <w:name w:val="toc 2"/>
    <w:basedOn w:val="Normal"/>
    <w:next w:val="Normal"/>
    <w:autoRedefine/>
    <w:uiPriority w:val="99"/>
    <w:pPr>
      <w:tabs>
        <w:tab w:val="left" w:pos="426"/>
        <w:tab w:val="left" w:pos="844"/>
        <w:tab w:val="left" w:pos="1054"/>
        <w:tab w:val="right" w:leader="dot" w:pos="7643"/>
      </w:tabs>
      <w:spacing w:line="240" w:lineRule="exact"/>
      <w:ind w:left="851" w:right="567" w:hanging="397"/>
    </w:pPr>
    <w:rPr>
      <w:sz w:val="22"/>
    </w:rPr>
  </w:style>
  <w:style w:type="paragraph" w:styleId="ListParagraph">
    <w:name w:val="List Paragraph"/>
    <w:basedOn w:val="Normal"/>
    <w:autoRedefine/>
    <w:uiPriority w:val="99"/>
    <w:qFormat/>
    <w:pPr>
      <w:numPr>
        <w:numId w:val="3"/>
      </w:numPr>
      <w:contextualSpacing/>
    </w:pPr>
  </w:style>
  <w:style w:type="paragraph" w:styleId="TOC3">
    <w:name w:val="toc 3"/>
    <w:basedOn w:val="Normal"/>
    <w:next w:val="Normal"/>
    <w:autoRedefine/>
    <w:uiPriority w:val="99"/>
    <w:pPr>
      <w:spacing w:line="240" w:lineRule="auto"/>
      <w:ind w:left="1645" w:right="567" w:hanging="624"/>
    </w:pPr>
  </w:style>
  <w:style w:type="paragraph" w:styleId="BalloonText">
    <w:name w:val="Balloon Text"/>
    <w:basedOn w:val="Normal"/>
    <w:link w:val="BalloonTextChar"/>
    <w:uiPriority w:val="99"/>
    <w:rsid w:val="005079C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79CF"/>
    <w:rPr>
      <w:rFonts w:ascii="Lucida Grande" w:hAnsi="Lucida Grande" w:cs="Lucida Grande"/>
      <w:sz w:val="18"/>
      <w:szCs w:val="18"/>
    </w:rPr>
  </w:style>
  <w:style w:type="numbering" w:customStyle="1" w:styleId="Stile1">
    <w:name w:val="Stile1"/>
    <w:rsid w:val="001B6A8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844</Words>
  <Characters>4230</Characters>
  <Application>Microsoft Office Outlook</Application>
  <DocSecurity>0</DocSecurity>
  <Lines>0</Lines>
  <Paragraphs>0</Paragraphs>
  <ScaleCrop>false</ScaleCrop>
  <Company>Studio Legale Bana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DA PARTE DI ASSOARMIERI</dc:title>
  <dc:subject/>
  <dc:creator>. .</dc:creator>
  <cp:keywords/>
  <dc:description/>
  <cp:lastModifiedBy>Orlandini</cp:lastModifiedBy>
  <cp:revision>2</cp:revision>
  <cp:lastPrinted>2015-11-19T12:37:00Z</cp:lastPrinted>
  <dcterms:created xsi:type="dcterms:W3CDTF">2015-11-19T16:50:00Z</dcterms:created>
  <dcterms:modified xsi:type="dcterms:W3CDTF">2015-11-19T16:50:00Z</dcterms:modified>
</cp:coreProperties>
</file>